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2D723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61BFEBB" w:rsidR="00F92268" w:rsidRPr="002D723B" w:rsidRDefault="00FE60A4" w:rsidP="00F246C7">
            <w:pPr>
              <w:pStyle w:val="RefTableHeader"/>
            </w:pPr>
            <w:r>
              <w:t>1702-A</w:t>
            </w:r>
          </w:p>
        </w:tc>
      </w:tr>
    </w:tbl>
    <w:p w14:paraId="74FBA5B4" w14:textId="77777777" w:rsidR="002D723B" w:rsidRDefault="002D723B" w:rsidP="002D723B">
      <w:pPr>
        <w:pStyle w:val="BodyText"/>
        <w:spacing w:after="0"/>
        <w:rPr>
          <w:b/>
          <w:bCs/>
          <w:sz w:val="16"/>
          <w:szCs w:val="16"/>
        </w:rPr>
        <w:sectPr w:rsidR="002D723B" w:rsidSect="004D6C37">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1D7EAF32" w14:textId="77777777" w:rsidR="00575FCE" w:rsidRPr="006304A1" w:rsidRDefault="00B61A8B" w:rsidP="00575FCE">
      <w:pPr>
        <w:pStyle w:val="Heading1"/>
      </w:pPr>
      <w:r w:rsidRPr="002D723B">
        <w:rPr>
          <w:lang w:val="pt-BR"/>
        </w:rPr>
        <w:t xml:space="preserve">Specialty </w:t>
      </w:r>
      <w:r w:rsidR="0024395C">
        <w:rPr>
          <w:lang w:val="pt-BR"/>
        </w:rPr>
        <w:t>Guideline Management</w:t>
      </w:r>
      <w:r w:rsidR="008C54D9" w:rsidRPr="002D723B">
        <w:rPr>
          <w:lang w:val="pt-BR"/>
        </w:rPr>
        <w:br/>
      </w:r>
      <w:r w:rsidR="00575FCE" w:rsidRPr="006304A1">
        <w:t>pralatrexate</w:t>
      </w:r>
      <w:r w:rsidR="00575FCE">
        <w:t xml:space="preserve"> - </w:t>
      </w:r>
      <w:proofErr w:type="spellStart"/>
      <w:r w:rsidR="00575FCE">
        <w:t>Folotyn</w:t>
      </w:r>
      <w:proofErr w:type="spellEnd"/>
    </w:p>
    <w:p w14:paraId="2013BFD9" w14:textId="77777777" w:rsidR="00575FCE" w:rsidRPr="006304A1" w:rsidRDefault="00575FCE" w:rsidP="00575FCE">
      <w:pPr>
        <w:pStyle w:val="Heading2"/>
      </w:pPr>
      <w:r w:rsidRPr="006304A1">
        <w:t>Products Referenced by this Document</w:t>
      </w:r>
    </w:p>
    <w:p w14:paraId="30B3A187" w14:textId="77777777" w:rsidR="00575FCE" w:rsidRPr="006304A1" w:rsidRDefault="00575FCE" w:rsidP="00575FCE">
      <w:pPr>
        <w:pStyle w:val="BodyText"/>
      </w:pPr>
      <w:r w:rsidRPr="006304A1">
        <w:t xml:space="preserve">Drugs that are listed in the following table include both brand and generic and all dosage forms and strengths unless otherwise stated. </w:t>
      </w:r>
      <w:r>
        <w:t>Over-the-counter (</w:t>
      </w:r>
      <w:r w:rsidRPr="006304A1">
        <w:t>OTC</w:t>
      </w:r>
      <w:r>
        <w:t>)</w:t>
      </w:r>
      <w:r w:rsidRPr="006304A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75FCE" w:rsidRPr="006304A1" w14:paraId="62DFFCF9" w14:textId="77777777" w:rsidTr="00B6373D">
        <w:trPr>
          <w:cantSplit/>
          <w:trHeight w:val="288"/>
          <w:tblHeader/>
        </w:trPr>
        <w:tc>
          <w:tcPr>
            <w:tcW w:w="5265" w:type="dxa"/>
            <w:vAlign w:val="center"/>
          </w:tcPr>
          <w:p w14:paraId="76488CA2" w14:textId="77777777" w:rsidR="00575FCE" w:rsidRPr="006304A1" w:rsidRDefault="00575FCE" w:rsidP="00B6373D">
            <w:pPr>
              <w:pStyle w:val="TableHeader"/>
            </w:pPr>
            <w:bookmarkStart w:id="0" w:name="_Hlk159603270"/>
            <w:r w:rsidRPr="006304A1">
              <w:t>Brand Name</w:t>
            </w:r>
          </w:p>
        </w:tc>
        <w:tc>
          <w:tcPr>
            <w:tcW w:w="5595" w:type="dxa"/>
            <w:vAlign w:val="center"/>
          </w:tcPr>
          <w:p w14:paraId="584825D3" w14:textId="77777777" w:rsidR="00575FCE" w:rsidRPr="006304A1" w:rsidRDefault="00575FCE" w:rsidP="00B6373D">
            <w:pPr>
              <w:pStyle w:val="TableHeader"/>
            </w:pPr>
            <w:r w:rsidRPr="006304A1">
              <w:t>Generic Name</w:t>
            </w:r>
          </w:p>
        </w:tc>
      </w:tr>
      <w:tr w:rsidR="00575FCE" w:rsidRPr="006304A1" w14:paraId="6752AFC7" w14:textId="77777777" w:rsidTr="00B6373D">
        <w:trPr>
          <w:cantSplit/>
        </w:trPr>
        <w:tc>
          <w:tcPr>
            <w:tcW w:w="5265" w:type="dxa"/>
          </w:tcPr>
          <w:p w14:paraId="45F8B6D2" w14:textId="77777777" w:rsidR="00575FCE" w:rsidRPr="006304A1" w:rsidRDefault="00575FCE" w:rsidP="00B6373D">
            <w:pPr>
              <w:pStyle w:val="TableDataUnpadded"/>
            </w:pPr>
            <w:proofErr w:type="spellStart"/>
            <w:r w:rsidRPr="006304A1">
              <w:t>Folotyn</w:t>
            </w:r>
            <w:proofErr w:type="spellEnd"/>
          </w:p>
        </w:tc>
        <w:tc>
          <w:tcPr>
            <w:tcW w:w="5595" w:type="dxa"/>
          </w:tcPr>
          <w:p w14:paraId="718A7260" w14:textId="77777777" w:rsidR="00575FCE" w:rsidRPr="006304A1" w:rsidRDefault="00575FCE" w:rsidP="00B6373D">
            <w:pPr>
              <w:pStyle w:val="TableDataUnpadded"/>
            </w:pPr>
            <w:r w:rsidRPr="006304A1">
              <w:t>pralatrexate</w:t>
            </w:r>
          </w:p>
        </w:tc>
      </w:tr>
    </w:tbl>
    <w:bookmarkEnd w:id="0"/>
    <w:p w14:paraId="6A2E5C80" w14:textId="77777777" w:rsidR="00575FCE" w:rsidRPr="006304A1" w:rsidRDefault="00575FCE" w:rsidP="00575FCE">
      <w:pPr>
        <w:pStyle w:val="Heading2"/>
        <w:tabs>
          <w:tab w:val="left" w:pos="9540"/>
        </w:tabs>
      </w:pPr>
      <w:r w:rsidRPr="006304A1">
        <w:t>Indications</w:t>
      </w:r>
    </w:p>
    <w:p w14:paraId="0F9F9A55" w14:textId="77777777" w:rsidR="00575FCE" w:rsidRPr="006304A1" w:rsidRDefault="00575FCE" w:rsidP="00575FCE">
      <w:pPr>
        <w:pStyle w:val="BodyText"/>
      </w:pPr>
      <w:r w:rsidRPr="006304A1">
        <w:t>The indications below including FDA-approved indications and compendial uses are considered a covered benefit provided that all the approval criteria are met and the member has no exclusions to the prescribed therapy.</w:t>
      </w:r>
    </w:p>
    <w:p w14:paraId="78F05DB5" w14:textId="77777777" w:rsidR="00575FCE" w:rsidRPr="006304A1" w:rsidRDefault="00575FCE" w:rsidP="00575FCE">
      <w:pPr>
        <w:pStyle w:val="Heading3"/>
        <w:keepNext w:val="0"/>
        <w:rPr>
          <w:vertAlign w:val="superscript"/>
        </w:rPr>
      </w:pPr>
      <w:r w:rsidRPr="006304A1">
        <w:t>FDA-approved Indications</w:t>
      </w:r>
      <w:r w:rsidRPr="006304A1">
        <w:rPr>
          <w:vertAlign w:val="superscript"/>
        </w:rPr>
        <w:t>1,2</w:t>
      </w:r>
    </w:p>
    <w:p w14:paraId="3847D6C0" w14:textId="77777777" w:rsidR="00575FCE" w:rsidRPr="006304A1" w:rsidRDefault="00575FCE" w:rsidP="00575FCE">
      <w:r w:rsidRPr="006304A1">
        <w:t>Treatment of patients with relapsed or refractory peripheral T-cell lymphoma (PTCL).</w:t>
      </w:r>
    </w:p>
    <w:p w14:paraId="3706501A" w14:textId="77777777" w:rsidR="00575FCE" w:rsidRPr="006304A1" w:rsidRDefault="00575FCE" w:rsidP="00575FCE">
      <w:pPr>
        <w:pStyle w:val="Heading3"/>
      </w:pPr>
      <w:r w:rsidRPr="006304A1">
        <w:t>Compendial Uses</w:t>
      </w:r>
      <w:r w:rsidRPr="006304A1">
        <w:rPr>
          <w:vertAlign w:val="superscript"/>
        </w:rPr>
        <w:t>3</w:t>
      </w:r>
    </w:p>
    <w:p w14:paraId="083BD2CF" w14:textId="77777777" w:rsidR="00575FCE" w:rsidRPr="006304A1" w:rsidRDefault="00575FCE" w:rsidP="00575FCE">
      <w:pPr>
        <w:pStyle w:val="ListParagraph"/>
        <w:numPr>
          <w:ilvl w:val="0"/>
          <w:numId w:val="40"/>
        </w:numPr>
        <w:ind w:left="720"/>
        <w:contextualSpacing w:val="0"/>
        <w:textAlignment w:val="auto"/>
      </w:pPr>
      <w:r w:rsidRPr="006304A1">
        <w:t>Adult T-cell leukemia/lymphoma (ATLL)</w:t>
      </w:r>
    </w:p>
    <w:p w14:paraId="7A130F1C" w14:textId="77777777" w:rsidR="00575FCE" w:rsidRPr="006304A1" w:rsidRDefault="00575FCE" w:rsidP="00575FCE">
      <w:pPr>
        <w:pStyle w:val="ListParagraph"/>
        <w:numPr>
          <w:ilvl w:val="0"/>
          <w:numId w:val="40"/>
        </w:numPr>
        <w:ind w:left="720"/>
        <w:contextualSpacing w:val="0"/>
        <w:textAlignment w:val="auto"/>
      </w:pPr>
      <w:r w:rsidRPr="006304A1">
        <w:t>Mycosis fungoides/Sezary syndrome (MF/SS)</w:t>
      </w:r>
    </w:p>
    <w:p w14:paraId="4837A30D" w14:textId="77777777" w:rsidR="00575FCE" w:rsidRPr="006304A1" w:rsidRDefault="00575FCE" w:rsidP="00575FCE">
      <w:pPr>
        <w:pStyle w:val="ListParagraph"/>
        <w:numPr>
          <w:ilvl w:val="0"/>
          <w:numId w:val="40"/>
        </w:numPr>
        <w:ind w:left="720"/>
        <w:contextualSpacing w:val="0"/>
        <w:textAlignment w:val="auto"/>
      </w:pPr>
      <w:r w:rsidRPr="006304A1">
        <w:t>Cutaneous anaplastic large cell lymphoma (ALCL)</w:t>
      </w:r>
    </w:p>
    <w:p w14:paraId="1977098F" w14:textId="77777777" w:rsidR="00575FCE" w:rsidRPr="006304A1" w:rsidRDefault="00575FCE" w:rsidP="00575FCE">
      <w:pPr>
        <w:pStyle w:val="ListParagraph"/>
        <w:numPr>
          <w:ilvl w:val="0"/>
          <w:numId w:val="40"/>
        </w:numPr>
        <w:ind w:left="720"/>
        <w:contextualSpacing w:val="0"/>
        <w:textAlignment w:val="auto"/>
      </w:pPr>
      <w:proofErr w:type="spellStart"/>
      <w:r w:rsidRPr="006304A1">
        <w:t>Extranodal</w:t>
      </w:r>
      <w:proofErr w:type="spellEnd"/>
      <w:r w:rsidRPr="006304A1">
        <w:t xml:space="preserve"> NK/T-cell lymphoma</w:t>
      </w:r>
    </w:p>
    <w:p w14:paraId="06B672A4" w14:textId="77777777" w:rsidR="00575FCE" w:rsidRPr="006304A1" w:rsidRDefault="00575FCE" w:rsidP="00575FCE">
      <w:pPr>
        <w:pStyle w:val="ListParagraph"/>
        <w:numPr>
          <w:ilvl w:val="0"/>
          <w:numId w:val="40"/>
        </w:numPr>
        <w:ind w:left="720"/>
        <w:contextualSpacing w:val="0"/>
        <w:textAlignment w:val="auto"/>
      </w:pPr>
      <w:r w:rsidRPr="006304A1">
        <w:t>Hepatosplenic T-cell lymphoma</w:t>
      </w:r>
    </w:p>
    <w:p w14:paraId="2058C031" w14:textId="77777777" w:rsidR="00575FCE" w:rsidRPr="006304A1" w:rsidRDefault="00575FCE" w:rsidP="00575FCE">
      <w:pPr>
        <w:pStyle w:val="ListParagraph"/>
        <w:widowControl w:val="0"/>
        <w:numPr>
          <w:ilvl w:val="0"/>
          <w:numId w:val="40"/>
        </w:numPr>
        <w:ind w:left="720"/>
        <w:contextualSpacing w:val="0"/>
        <w:textAlignment w:val="auto"/>
      </w:pPr>
      <w:r w:rsidRPr="006304A1">
        <w:t>Anaplastic large cell lymphoma</w:t>
      </w:r>
    </w:p>
    <w:p w14:paraId="07D1DDA3" w14:textId="77777777" w:rsidR="00575FCE" w:rsidRPr="006304A1" w:rsidRDefault="00575FCE" w:rsidP="00575FCE">
      <w:pPr>
        <w:pStyle w:val="ListParagraph"/>
        <w:numPr>
          <w:ilvl w:val="0"/>
          <w:numId w:val="40"/>
        </w:numPr>
        <w:ind w:left="720"/>
        <w:contextualSpacing w:val="0"/>
        <w:textAlignment w:val="auto"/>
      </w:pPr>
      <w:r w:rsidRPr="006304A1">
        <w:t xml:space="preserve">Peripheral T-cell lymphoma not otherwise specified </w:t>
      </w:r>
    </w:p>
    <w:p w14:paraId="193074C8" w14:textId="77777777" w:rsidR="00575FCE" w:rsidRPr="006304A1" w:rsidRDefault="00575FCE" w:rsidP="00575FCE">
      <w:pPr>
        <w:pStyle w:val="ListParagraph"/>
        <w:numPr>
          <w:ilvl w:val="0"/>
          <w:numId w:val="40"/>
        </w:numPr>
        <w:ind w:left="720"/>
        <w:contextualSpacing w:val="0"/>
        <w:textAlignment w:val="auto"/>
      </w:pPr>
      <w:r w:rsidRPr="006304A1">
        <w:t>Angioimmunoblastic T-cell lymphoma</w:t>
      </w:r>
    </w:p>
    <w:p w14:paraId="72FCE9D4" w14:textId="77777777" w:rsidR="00575FCE" w:rsidRPr="006304A1" w:rsidRDefault="00575FCE" w:rsidP="00575FCE">
      <w:pPr>
        <w:pStyle w:val="ListParagraph"/>
        <w:numPr>
          <w:ilvl w:val="0"/>
          <w:numId w:val="40"/>
        </w:numPr>
        <w:ind w:left="720"/>
        <w:contextualSpacing w:val="0"/>
        <w:textAlignment w:val="auto"/>
      </w:pPr>
      <w:r w:rsidRPr="006304A1">
        <w:lastRenderedPageBreak/>
        <w:t>Enteropathy associated T-cell lymphoma</w:t>
      </w:r>
    </w:p>
    <w:p w14:paraId="6BA36DAA" w14:textId="77777777" w:rsidR="00575FCE" w:rsidRPr="006304A1" w:rsidRDefault="00575FCE" w:rsidP="00575FCE">
      <w:pPr>
        <w:pStyle w:val="ListParagraph"/>
        <w:numPr>
          <w:ilvl w:val="0"/>
          <w:numId w:val="40"/>
        </w:numPr>
        <w:ind w:left="720"/>
        <w:contextualSpacing w:val="0"/>
        <w:textAlignment w:val="auto"/>
      </w:pPr>
      <w:r w:rsidRPr="006304A1">
        <w:t>Monomorphic epitheliotropic intestinal T-cell lymphoma</w:t>
      </w:r>
    </w:p>
    <w:p w14:paraId="77B2F223" w14:textId="77777777" w:rsidR="00575FCE" w:rsidRPr="006304A1" w:rsidRDefault="00575FCE" w:rsidP="00575FCE">
      <w:pPr>
        <w:pStyle w:val="ListParagraph"/>
        <w:numPr>
          <w:ilvl w:val="0"/>
          <w:numId w:val="40"/>
        </w:numPr>
        <w:ind w:left="720"/>
        <w:contextualSpacing w:val="0"/>
        <w:textAlignment w:val="auto"/>
      </w:pPr>
      <w:r w:rsidRPr="006304A1">
        <w:t xml:space="preserve">Nodal peripheral T-cell lymphoma with TFH phenotype </w:t>
      </w:r>
    </w:p>
    <w:p w14:paraId="270031C3" w14:textId="77777777" w:rsidR="00575FCE" w:rsidRPr="006304A1" w:rsidRDefault="00575FCE" w:rsidP="00575FCE">
      <w:pPr>
        <w:pStyle w:val="ListParagraph"/>
        <w:numPr>
          <w:ilvl w:val="0"/>
          <w:numId w:val="40"/>
        </w:numPr>
        <w:ind w:left="720"/>
        <w:contextualSpacing w:val="0"/>
        <w:textAlignment w:val="auto"/>
      </w:pPr>
      <w:r w:rsidRPr="006304A1">
        <w:t>Follicular T-cell lymphoma</w:t>
      </w:r>
    </w:p>
    <w:p w14:paraId="4D81C1DB" w14:textId="77777777" w:rsidR="00575FCE" w:rsidRPr="006304A1" w:rsidRDefault="00575FCE" w:rsidP="00575FCE">
      <w:pPr>
        <w:pStyle w:val="ListParagraph"/>
        <w:numPr>
          <w:ilvl w:val="0"/>
          <w:numId w:val="40"/>
        </w:numPr>
        <w:ind w:left="720"/>
        <w:contextualSpacing w:val="0"/>
        <w:textAlignment w:val="auto"/>
      </w:pPr>
      <w:r w:rsidRPr="006304A1">
        <w:t>Breast implant associated anaplastic large cell lymphoma (ALCL)</w:t>
      </w:r>
    </w:p>
    <w:p w14:paraId="05F6DB5C" w14:textId="77777777" w:rsidR="00575FCE" w:rsidRPr="006304A1" w:rsidRDefault="00575FCE" w:rsidP="00575FCE">
      <w:pPr>
        <w:pStyle w:val="BodyText"/>
        <w:rPr>
          <w:rFonts w:eastAsia="Arial"/>
        </w:rPr>
      </w:pPr>
      <w:r w:rsidRPr="006304A1">
        <w:t>All other indications are considered experimental/investigational and not medically necessary</w:t>
      </w:r>
      <w:r w:rsidRPr="006304A1">
        <w:rPr>
          <w:rFonts w:eastAsia="Arial"/>
        </w:rPr>
        <w:t xml:space="preserve">. </w:t>
      </w:r>
    </w:p>
    <w:p w14:paraId="6A4A0201" w14:textId="77777777" w:rsidR="00575FCE" w:rsidRPr="006304A1" w:rsidRDefault="00575FCE" w:rsidP="00575FCE">
      <w:pPr>
        <w:pStyle w:val="Heading2"/>
      </w:pPr>
      <w:r w:rsidRPr="006304A1">
        <w:t>Coverage Criteria</w:t>
      </w:r>
    </w:p>
    <w:p w14:paraId="343BD94C" w14:textId="77777777" w:rsidR="00575FCE" w:rsidRPr="006304A1" w:rsidRDefault="00575FCE" w:rsidP="00575FCE">
      <w:pPr>
        <w:pStyle w:val="Heading3"/>
      </w:pPr>
      <w:r w:rsidRPr="006304A1">
        <w:t>Peripheral T-cell lymphoma (PTCL)</w:t>
      </w:r>
      <w:r w:rsidRPr="006304A1">
        <w:rPr>
          <w:vertAlign w:val="superscript"/>
        </w:rPr>
        <w:t>1-3</w:t>
      </w:r>
      <w:r w:rsidRPr="006304A1">
        <w:t xml:space="preserve"> </w:t>
      </w:r>
    </w:p>
    <w:p w14:paraId="770C18E4" w14:textId="77777777" w:rsidR="00575FCE" w:rsidRPr="006304A1" w:rsidRDefault="00575FCE" w:rsidP="00575FCE">
      <w:pPr>
        <w:pStyle w:val="BodyText"/>
        <w:rPr>
          <w:sz w:val="20"/>
        </w:rPr>
      </w:pPr>
      <w:r w:rsidRPr="006304A1">
        <w:t>Authorization of 12 months may be granted for treatment of PTCL (including the following subtypes: anaplastic large cell lymphoma, peripheral T-cell lymphoma not otherwise specified, angioimmunoblastic T-cell lymphoma, enteropathy associated T-cell lymphoma, monomorphic epitheliotropic intestinal T-cell lymphoma, nodal peripheral T-cell lymphoma with TFH phenotype, or follicular T-cell lymphoma) when both of the following criteria are met</w:t>
      </w:r>
      <w:r w:rsidRPr="006304A1">
        <w:rPr>
          <w:sz w:val="20"/>
        </w:rPr>
        <w:t>:</w:t>
      </w:r>
    </w:p>
    <w:p w14:paraId="2623CC54" w14:textId="77777777" w:rsidR="00575FCE" w:rsidRPr="006304A1" w:rsidRDefault="00575FCE" w:rsidP="00575FCE">
      <w:pPr>
        <w:pStyle w:val="ListParagraph"/>
        <w:numPr>
          <w:ilvl w:val="0"/>
          <w:numId w:val="45"/>
        </w:numPr>
        <w:ind w:left="720"/>
        <w:contextualSpacing w:val="0"/>
        <w:textAlignment w:val="auto"/>
      </w:pPr>
      <w:r w:rsidRPr="006304A1">
        <w:t>The requested medication will be used as a single agent.</w:t>
      </w:r>
    </w:p>
    <w:p w14:paraId="466282C4" w14:textId="77777777" w:rsidR="00575FCE" w:rsidRPr="006304A1" w:rsidRDefault="00575FCE" w:rsidP="00575FCE">
      <w:pPr>
        <w:pStyle w:val="ListParagraph"/>
        <w:numPr>
          <w:ilvl w:val="0"/>
          <w:numId w:val="45"/>
        </w:numPr>
        <w:ind w:left="720"/>
        <w:contextualSpacing w:val="0"/>
        <w:textAlignment w:val="auto"/>
      </w:pPr>
      <w:r w:rsidRPr="006304A1">
        <w:t>The requested medication will be used to treat relapsed or refractory disease or for initial palliative therapy.</w:t>
      </w:r>
    </w:p>
    <w:p w14:paraId="4C3F6149" w14:textId="77777777" w:rsidR="00575FCE" w:rsidRPr="006304A1" w:rsidRDefault="00575FCE" w:rsidP="00575FCE">
      <w:pPr>
        <w:pStyle w:val="Heading3"/>
      </w:pPr>
      <w:r w:rsidRPr="006304A1">
        <w:t>Adult T-cell leukemia/lymphoma (ATLL)</w:t>
      </w:r>
      <w:r w:rsidRPr="006304A1">
        <w:rPr>
          <w:vertAlign w:val="superscript"/>
        </w:rPr>
        <w:t>3</w:t>
      </w:r>
    </w:p>
    <w:p w14:paraId="3683FD52" w14:textId="77777777" w:rsidR="00575FCE" w:rsidRPr="006304A1" w:rsidRDefault="00575FCE" w:rsidP="00575FCE">
      <w:pPr>
        <w:pStyle w:val="BodyText"/>
      </w:pPr>
      <w:r w:rsidRPr="006304A1">
        <w:t>Authorization of 12 months may be granted for treatment of ATLL when both of the following criteria are met:</w:t>
      </w:r>
    </w:p>
    <w:p w14:paraId="0099F76D" w14:textId="77777777" w:rsidR="00575FCE" w:rsidRPr="006304A1" w:rsidRDefault="00575FCE" w:rsidP="00575FCE">
      <w:pPr>
        <w:pStyle w:val="ListParagraph"/>
        <w:numPr>
          <w:ilvl w:val="0"/>
          <w:numId w:val="44"/>
        </w:numPr>
        <w:ind w:left="720"/>
        <w:contextualSpacing w:val="0"/>
        <w:textAlignment w:val="auto"/>
      </w:pPr>
      <w:r w:rsidRPr="006304A1">
        <w:t>The requested medication is used as a single agent.</w:t>
      </w:r>
    </w:p>
    <w:p w14:paraId="2DB5D2C3" w14:textId="77777777" w:rsidR="00575FCE" w:rsidRPr="006304A1" w:rsidRDefault="00575FCE" w:rsidP="00575FCE">
      <w:pPr>
        <w:pStyle w:val="ListParagraph"/>
        <w:numPr>
          <w:ilvl w:val="0"/>
          <w:numId w:val="44"/>
        </w:numPr>
        <w:ind w:left="720"/>
        <w:contextualSpacing w:val="0"/>
        <w:textAlignment w:val="auto"/>
      </w:pPr>
      <w:r w:rsidRPr="006304A1">
        <w:t>The requested medication is used as subsequent therapy.</w:t>
      </w:r>
    </w:p>
    <w:p w14:paraId="3363453B" w14:textId="77777777" w:rsidR="00575FCE" w:rsidRPr="006304A1" w:rsidRDefault="00575FCE" w:rsidP="00575FCE">
      <w:pPr>
        <w:pStyle w:val="Heading3"/>
      </w:pPr>
      <w:r w:rsidRPr="006304A1">
        <w:t>Mycosis fungoides/Sezary syndrome (MF/SS)</w:t>
      </w:r>
      <w:r w:rsidRPr="006304A1">
        <w:rPr>
          <w:vertAlign w:val="superscript"/>
        </w:rPr>
        <w:t>3</w:t>
      </w:r>
    </w:p>
    <w:p w14:paraId="0263A4DE" w14:textId="77777777" w:rsidR="00575FCE" w:rsidRPr="006304A1" w:rsidRDefault="00575FCE" w:rsidP="00575FCE">
      <w:pPr>
        <w:pStyle w:val="BodyText"/>
      </w:pPr>
      <w:r w:rsidRPr="006304A1">
        <w:t>Authorization of 12 months may be granted for treatment of MF or SS.</w:t>
      </w:r>
    </w:p>
    <w:p w14:paraId="43B88BDD" w14:textId="77777777" w:rsidR="00575FCE" w:rsidRPr="006304A1" w:rsidRDefault="00575FCE" w:rsidP="00575FCE">
      <w:pPr>
        <w:pStyle w:val="Heading3"/>
        <w:widowControl w:val="0"/>
      </w:pPr>
      <w:r w:rsidRPr="006304A1">
        <w:t>Cutaneous anaplastic large cell lymphoma</w:t>
      </w:r>
      <w:r w:rsidRPr="006304A1">
        <w:rPr>
          <w:vertAlign w:val="superscript"/>
        </w:rPr>
        <w:t>3</w:t>
      </w:r>
    </w:p>
    <w:p w14:paraId="19DA69C1" w14:textId="77777777" w:rsidR="00575FCE" w:rsidRPr="006304A1" w:rsidRDefault="00575FCE" w:rsidP="00575FCE">
      <w:pPr>
        <w:pStyle w:val="BodyText"/>
        <w:widowControl w:val="0"/>
      </w:pPr>
      <w:r w:rsidRPr="006304A1">
        <w:t>Authorization of 12 months may be granted for treatment of cutaneous anaplastic large cell lymphoma (ALCL) when the requested medication is used as a single agent.</w:t>
      </w:r>
    </w:p>
    <w:p w14:paraId="6B17D658" w14:textId="77777777" w:rsidR="00575FCE" w:rsidRPr="006304A1" w:rsidRDefault="00575FCE" w:rsidP="00575FCE">
      <w:pPr>
        <w:pStyle w:val="Heading3"/>
      </w:pPr>
      <w:proofErr w:type="spellStart"/>
      <w:r w:rsidRPr="006304A1">
        <w:lastRenderedPageBreak/>
        <w:t>Extranodal</w:t>
      </w:r>
      <w:proofErr w:type="spellEnd"/>
      <w:r w:rsidRPr="006304A1">
        <w:t xml:space="preserve"> NK/T-cell lymphoma</w:t>
      </w:r>
      <w:r w:rsidRPr="006304A1">
        <w:rPr>
          <w:vertAlign w:val="superscript"/>
        </w:rPr>
        <w:t>3</w:t>
      </w:r>
    </w:p>
    <w:p w14:paraId="0C86E7E1" w14:textId="77777777" w:rsidR="00575FCE" w:rsidRPr="006304A1" w:rsidRDefault="00575FCE" w:rsidP="00575FCE">
      <w:pPr>
        <w:pStyle w:val="BodyText"/>
      </w:pPr>
      <w:r w:rsidRPr="006304A1">
        <w:t xml:space="preserve">Authorization of 12 months may be granted for treatment of </w:t>
      </w:r>
      <w:proofErr w:type="spellStart"/>
      <w:r w:rsidRPr="006304A1">
        <w:t>extranodal</w:t>
      </w:r>
      <w:proofErr w:type="spellEnd"/>
      <w:r w:rsidRPr="006304A1">
        <w:t xml:space="preserve"> NK/T-cell lymphoma when all of the following criteria are met:</w:t>
      </w:r>
    </w:p>
    <w:p w14:paraId="2E7A6A99" w14:textId="77777777" w:rsidR="00575FCE" w:rsidRPr="006304A1" w:rsidRDefault="00575FCE" w:rsidP="00575FCE">
      <w:pPr>
        <w:pStyle w:val="ListParagraph"/>
        <w:numPr>
          <w:ilvl w:val="0"/>
          <w:numId w:val="43"/>
        </w:numPr>
        <w:tabs>
          <w:tab w:val="left" w:pos="1080"/>
        </w:tabs>
        <w:contextualSpacing w:val="0"/>
      </w:pPr>
      <w:r w:rsidRPr="006304A1">
        <w:t>The requested medication will be used as a single agent.</w:t>
      </w:r>
    </w:p>
    <w:p w14:paraId="29582A7A" w14:textId="77777777" w:rsidR="00575FCE" w:rsidRPr="006304A1" w:rsidRDefault="00575FCE" w:rsidP="00575FCE">
      <w:pPr>
        <w:pStyle w:val="ListParagraph"/>
        <w:numPr>
          <w:ilvl w:val="0"/>
          <w:numId w:val="43"/>
        </w:numPr>
        <w:contextualSpacing w:val="0"/>
      </w:pPr>
      <w:r w:rsidRPr="006304A1">
        <w:t>The member has relapsed or refractory disease.</w:t>
      </w:r>
    </w:p>
    <w:p w14:paraId="36625B52" w14:textId="77777777" w:rsidR="00575FCE" w:rsidRPr="006304A1" w:rsidRDefault="00575FCE" w:rsidP="00575FCE">
      <w:pPr>
        <w:pStyle w:val="ListParagraph"/>
        <w:numPr>
          <w:ilvl w:val="0"/>
          <w:numId w:val="43"/>
        </w:numPr>
        <w:contextualSpacing w:val="0"/>
      </w:pPr>
      <w:r w:rsidRPr="006304A1">
        <w:t xml:space="preserve">The member has had an inadequate response or contraindication to asparaginase-based therapy (e.g., </w:t>
      </w:r>
      <w:proofErr w:type="spellStart"/>
      <w:r w:rsidRPr="006304A1">
        <w:t>pegaspargase</w:t>
      </w:r>
      <w:proofErr w:type="spellEnd"/>
      <w:r w:rsidRPr="006304A1">
        <w:t>).</w:t>
      </w:r>
    </w:p>
    <w:p w14:paraId="765619D3" w14:textId="77777777" w:rsidR="00575FCE" w:rsidRPr="006304A1" w:rsidRDefault="00575FCE" w:rsidP="00575FCE">
      <w:pPr>
        <w:pStyle w:val="Heading3"/>
      </w:pPr>
      <w:r w:rsidRPr="006304A1">
        <w:t>Hepatosplenic T-cell lymphoma</w:t>
      </w:r>
      <w:r w:rsidRPr="006304A1">
        <w:rPr>
          <w:vertAlign w:val="superscript"/>
        </w:rPr>
        <w:t>3</w:t>
      </w:r>
    </w:p>
    <w:p w14:paraId="6029A6F7" w14:textId="77777777" w:rsidR="00575FCE" w:rsidRPr="006304A1" w:rsidRDefault="00575FCE" w:rsidP="00575FCE">
      <w:pPr>
        <w:pStyle w:val="BodyText"/>
      </w:pPr>
      <w:r w:rsidRPr="006304A1">
        <w:t>Authorization of 12 months may be granted for treatment of hepatosplenic T-cell lymphoma when both of the following criteria are met:</w:t>
      </w:r>
    </w:p>
    <w:p w14:paraId="38F7408D" w14:textId="77777777" w:rsidR="00575FCE" w:rsidRPr="006304A1" w:rsidRDefault="00575FCE" w:rsidP="00575FCE">
      <w:pPr>
        <w:pStyle w:val="ListParagraph"/>
        <w:numPr>
          <w:ilvl w:val="0"/>
          <w:numId w:val="42"/>
        </w:numPr>
        <w:tabs>
          <w:tab w:val="left" w:pos="1080"/>
        </w:tabs>
        <w:ind w:left="720"/>
        <w:contextualSpacing w:val="0"/>
        <w:textAlignment w:val="auto"/>
        <w:rPr>
          <w:b/>
        </w:rPr>
      </w:pPr>
      <w:r w:rsidRPr="006304A1">
        <w:t>The requested medication will be used as a single agent.</w:t>
      </w:r>
    </w:p>
    <w:p w14:paraId="00742D81" w14:textId="77777777" w:rsidR="00575FCE" w:rsidRPr="006304A1" w:rsidRDefault="00575FCE" w:rsidP="00575FCE">
      <w:pPr>
        <w:pStyle w:val="ListParagraph"/>
        <w:numPr>
          <w:ilvl w:val="0"/>
          <w:numId w:val="42"/>
        </w:numPr>
        <w:tabs>
          <w:tab w:val="left" w:pos="1080"/>
        </w:tabs>
        <w:ind w:left="720"/>
        <w:contextualSpacing w:val="0"/>
        <w:textAlignment w:val="auto"/>
        <w:rPr>
          <w:b/>
        </w:rPr>
      </w:pPr>
      <w:r w:rsidRPr="006304A1">
        <w:t>The member has had two or more previous lines of chemotherapy.</w:t>
      </w:r>
    </w:p>
    <w:p w14:paraId="04025DE5" w14:textId="77777777" w:rsidR="00575FCE" w:rsidRPr="006304A1" w:rsidRDefault="00575FCE" w:rsidP="00575FCE">
      <w:pPr>
        <w:pStyle w:val="Heading3"/>
      </w:pPr>
      <w:r w:rsidRPr="006304A1">
        <w:t>Breast implant-associated anaplastic large cell lymphoma (ALCL)</w:t>
      </w:r>
      <w:r w:rsidRPr="006304A1">
        <w:rPr>
          <w:vertAlign w:val="superscript"/>
        </w:rPr>
        <w:t>3</w:t>
      </w:r>
    </w:p>
    <w:p w14:paraId="69D8DE3A" w14:textId="77777777" w:rsidR="00575FCE" w:rsidRPr="006304A1" w:rsidRDefault="00575FCE" w:rsidP="00575FCE">
      <w:pPr>
        <w:pStyle w:val="BodyText"/>
      </w:pPr>
      <w:r w:rsidRPr="006304A1">
        <w:t>Authorization of 12 months may be granted for treatment of breast implant associated ALCL when both of the following criteria are met:</w:t>
      </w:r>
    </w:p>
    <w:p w14:paraId="3FD239B6" w14:textId="77777777" w:rsidR="00575FCE" w:rsidRPr="006304A1" w:rsidRDefault="00575FCE" w:rsidP="00575FCE">
      <w:pPr>
        <w:pStyle w:val="ListParagraph"/>
        <w:numPr>
          <w:ilvl w:val="0"/>
          <w:numId w:val="41"/>
        </w:numPr>
        <w:tabs>
          <w:tab w:val="left" w:pos="1080"/>
        </w:tabs>
        <w:ind w:left="720"/>
        <w:contextualSpacing w:val="0"/>
        <w:textAlignment w:val="auto"/>
        <w:rPr>
          <w:bCs/>
        </w:rPr>
      </w:pPr>
      <w:r w:rsidRPr="006304A1">
        <w:rPr>
          <w:bCs/>
        </w:rPr>
        <w:t>The requested medication will be used as a single agent.</w:t>
      </w:r>
    </w:p>
    <w:p w14:paraId="7EFCBF26" w14:textId="77777777" w:rsidR="00575FCE" w:rsidRPr="006304A1" w:rsidRDefault="00575FCE" w:rsidP="00575FCE">
      <w:pPr>
        <w:pStyle w:val="ListParagraph"/>
        <w:numPr>
          <w:ilvl w:val="0"/>
          <w:numId w:val="41"/>
        </w:numPr>
        <w:tabs>
          <w:tab w:val="left" w:pos="1080"/>
        </w:tabs>
        <w:ind w:left="720"/>
        <w:contextualSpacing w:val="0"/>
        <w:textAlignment w:val="auto"/>
        <w:rPr>
          <w:bCs/>
        </w:rPr>
      </w:pPr>
      <w:r w:rsidRPr="006304A1">
        <w:rPr>
          <w:bCs/>
        </w:rPr>
        <w:t>The requested medication will be used as subsequent therapy</w:t>
      </w:r>
      <w:r w:rsidRPr="006304A1">
        <w:t>.</w:t>
      </w:r>
    </w:p>
    <w:p w14:paraId="413E124F" w14:textId="77777777" w:rsidR="00575FCE" w:rsidRPr="006304A1" w:rsidRDefault="00575FCE" w:rsidP="00575FCE">
      <w:pPr>
        <w:pStyle w:val="Heading2"/>
      </w:pPr>
      <w:r w:rsidRPr="006304A1">
        <w:t>Continuation of Therapy</w:t>
      </w:r>
    </w:p>
    <w:p w14:paraId="05514422" w14:textId="77777777" w:rsidR="00575FCE" w:rsidRPr="006304A1" w:rsidRDefault="00575FCE" w:rsidP="00575FCE">
      <w:pPr>
        <w:pStyle w:val="BodyText"/>
      </w:pPr>
      <w:r w:rsidRPr="006304A1">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9AF8141" w14:textId="77777777" w:rsidR="00575FCE" w:rsidRPr="006304A1" w:rsidRDefault="00575FCE" w:rsidP="00575FCE">
      <w:pPr>
        <w:pStyle w:val="Heading2"/>
        <w:keepNext w:val="0"/>
        <w:widowControl w:val="0"/>
      </w:pPr>
      <w:r w:rsidRPr="006304A1">
        <w:t>References</w:t>
      </w:r>
    </w:p>
    <w:p w14:paraId="7CFE573A" w14:textId="77777777" w:rsidR="00575FCE" w:rsidRPr="006304A1" w:rsidRDefault="00575FCE" w:rsidP="00575FCE">
      <w:pPr>
        <w:pStyle w:val="ReferenceOrdered"/>
        <w:widowControl w:val="0"/>
      </w:pPr>
      <w:proofErr w:type="spellStart"/>
      <w:r w:rsidRPr="006304A1">
        <w:t>Folotyn</w:t>
      </w:r>
      <w:proofErr w:type="spellEnd"/>
      <w:r w:rsidRPr="006304A1">
        <w:t xml:space="preserve"> [package insert]. East Windsor, NJ: </w:t>
      </w:r>
      <w:proofErr w:type="spellStart"/>
      <w:r w:rsidRPr="006304A1">
        <w:t>Acrotech</w:t>
      </w:r>
      <w:proofErr w:type="spellEnd"/>
      <w:r w:rsidRPr="006304A1">
        <w:t xml:space="preserve"> Biopharma LLC; September 2020.</w:t>
      </w:r>
    </w:p>
    <w:p w14:paraId="44654A40" w14:textId="77777777" w:rsidR="00575FCE" w:rsidRPr="006304A1" w:rsidRDefault="00575FCE" w:rsidP="00575FCE">
      <w:pPr>
        <w:pStyle w:val="ReferenceOrdered"/>
        <w:widowControl w:val="0"/>
      </w:pPr>
      <w:r w:rsidRPr="006304A1">
        <w:t xml:space="preserve">Pralatrexate [package insert]. Lake Zurich, IL: Fresenius </w:t>
      </w:r>
      <w:proofErr w:type="spellStart"/>
      <w:r w:rsidRPr="006304A1">
        <w:t>Kabi</w:t>
      </w:r>
      <w:proofErr w:type="spellEnd"/>
      <w:r w:rsidRPr="006304A1">
        <w:t>; September 2022.</w:t>
      </w:r>
    </w:p>
    <w:p w14:paraId="37AFCB2A" w14:textId="0C2B9ABE" w:rsidR="00575FCE" w:rsidRPr="00575FCE" w:rsidRDefault="00575FCE" w:rsidP="00575FCE">
      <w:pPr>
        <w:pStyle w:val="ReferenceOrdered"/>
        <w:widowControl w:val="0"/>
      </w:pPr>
      <w:r w:rsidRPr="006304A1">
        <w:t>The NCCN Drugs &amp; Biologics Compendium® © 2024 National Comprehensive Cancer Network, Inc. https://www.nccn.org. Accessed April 5, 2024.</w:t>
      </w:r>
    </w:p>
    <w:sectPr w:rsidR="00575FCE" w:rsidRPr="00575FCE" w:rsidSect="00474E9A">
      <w:headerReference w:type="first" r:id="rId18"/>
      <w:footerReference w:type="first" r:id="rId19"/>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C81D9" w14:textId="77777777" w:rsidR="00DC7F0E" w:rsidRDefault="00DC7F0E">
      <w:r>
        <w:separator/>
      </w:r>
    </w:p>
  </w:endnote>
  <w:endnote w:type="continuationSeparator" w:id="0">
    <w:p w14:paraId="4FDC6166" w14:textId="77777777" w:rsidR="00DC7F0E" w:rsidRDefault="00DC7F0E">
      <w:r>
        <w:continuationSeparator/>
      </w:r>
    </w:p>
  </w:endnote>
  <w:endnote w:type="continuationNotice" w:id="1">
    <w:p w14:paraId="6BA38D19" w14:textId="77777777" w:rsidR="00DC7F0E" w:rsidRDefault="00DC7F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583DC" w14:textId="77777777" w:rsidR="00334082" w:rsidRDefault="003340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EF3DD5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34082" w:rsidRPr="00334082">
      <w:rPr>
        <w:rFonts w:cs="Arial"/>
        <w:noProof/>
        <w:sz w:val="16"/>
        <w:szCs w:val="16"/>
      </w:rPr>
      <w:t>pralatrexate-Folotyn</w:t>
    </w:r>
    <w:r w:rsidR="00334082">
      <w:rPr>
        <w:rFonts w:cs="Arial"/>
        <w:noProof/>
        <w:snapToGrid w:val="0"/>
        <w:color w:val="000000"/>
        <w:sz w:val="16"/>
        <w:szCs w:val="16"/>
      </w:rPr>
      <w:t xml:space="preserve"> SGM 1702-A</w:t>
    </w:r>
    <w:r w:rsidR="00334082" w:rsidRPr="00334082">
      <w:rPr>
        <w:rFonts w:cs="Arial"/>
        <w:noProof/>
        <w:sz w:val="16"/>
        <w:szCs w:val="16"/>
      </w:rPr>
      <w:t xml:space="preserve"> P2024</w:t>
    </w:r>
    <w:r w:rsidR="0033408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445157E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447DFFF" w:rsidR="00F75C81" w:rsidRPr="00AA1E6A" w:rsidRDefault="00C36B72" w:rsidP="00F7164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9007E2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34082" w:rsidRPr="00334082">
      <w:rPr>
        <w:rFonts w:cs="Arial"/>
        <w:noProof/>
        <w:sz w:val="16"/>
        <w:szCs w:val="16"/>
      </w:rPr>
      <w:t>pralatrexate-Folotyn</w:t>
    </w:r>
    <w:r w:rsidR="00334082">
      <w:rPr>
        <w:rFonts w:cs="Arial"/>
        <w:noProof/>
        <w:snapToGrid w:val="0"/>
        <w:color w:val="000000"/>
        <w:sz w:val="16"/>
        <w:szCs w:val="16"/>
      </w:rPr>
      <w:t xml:space="preserve"> SGM 1702-A</w:t>
    </w:r>
    <w:r w:rsidR="00334082" w:rsidRPr="00334082">
      <w:rPr>
        <w:rFonts w:cs="Arial"/>
        <w:noProof/>
        <w:sz w:val="16"/>
        <w:szCs w:val="16"/>
      </w:rPr>
      <w:t xml:space="preserve"> P2024</w:t>
    </w:r>
    <w:r w:rsidR="0033408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00272E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7DE96F3" w:rsidR="00ED04EC" w:rsidRPr="00F50D98" w:rsidRDefault="00F50D98" w:rsidP="0006251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9BFE5" w14:textId="77777777" w:rsidR="00DC7F0E" w:rsidRDefault="00DC7F0E">
      <w:r>
        <w:separator/>
      </w:r>
    </w:p>
  </w:footnote>
  <w:footnote w:type="continuationSeparator" w:id="0">
    <w:p w14:paraId="0C06C609" w14:textId="77777777" w:rsidR="00DC7F0E" w:rsidRDefault="00DC7F0E">
      <w:r>
        <w:continuationSeparator/>
      </w:r>
    </w:p>
  </w:footnote>
  <w:footnote w:type="continuationNotice" w:id="1">
    <w:p w14:paraId="3103FDA1" w14:textId="77777777" w:rsidR="00DC7F0E" w:rsidRDefault="00DC7F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7B87" w14:textId="77777777" w:rsidR="00334082" w:rsidRDefault="003340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6427E4" w14:paraId="16262E63" w14:textId="77777777" w:rsidTr="0006569F">
      <w:trPr>
        <w:trHeight w:val="144"/>
        <w:jc w:val="right"/>
      </w:trPr>
      <w:tc>
        <w:tcPr>
          <w:tcW w:w="1854" w:type="dxa"/>
          <w:hideMark/>
        </w:tcPr>
        <w:p w14:paraId="18F550B7" w14:textId="77777777" w:rsidR="00ED04EC" w:rsidRPr="006427E4" w:rsidRDefault="00ED04EC" w:rsidP="00ED04EC">
          <w:pPr>
            <w:pStyle w:val="Header"/>
            <w:rPr>
              <w:rFonts w:cs="Arial"/>
              <w:sz w:val="16"/>
              <w:szCs w:val="16"/>
            </w:rPr>
          </w:pPr>
          <w:r w:rsidRPr="006427E4">
            <w:rPr>
              <w:rFonts w:cs="Arial"/>
              <w:sz w:val="16"/>
              <w:szCs w:val="16"/>
            </w:rPr>
            <w:t>Reference number(s)</w:t>
          </w:r>
        </w:p>
      </w:tc>
    </w:tr>
    <w:tr w:rsidR="00ED04EC" w:rsidRPr="006427E4" w14:paraId="703C6588" w14:textId="77777777" w:rsidTr="0006569F">
      <w:trPr>
        <w:trHeight w:val="378"/>
        <w:jc w:val="right"/>
      </w:trPr>
      <w:tc>
        <w:tcPr>
          <w:tcW w:w="1854" w:type="dxa"/>
          <w:hideMark/>
        </w:tcPr>
        <w:p w14:paraId="51CE3E64" w14:textId="523D48F4" w:rsidR="002B608C" w:rsidRPr="006427E4" w:rsidRDefault="00FE60A4" w:rsidP="00ED04EC">
          <w:pPr>
            <w:pStyle w:val="Header"/>
            <w:rPr>
              <w:rFonts w:cs="Arial"/>
              <w:sz w:val="16"/>
              <w:szCs w:val="16"/>
            </w:rPr>
          </w:pPr>
          <w:r>
            <w:rPr>
              <w:rFonts w:cs="Arial"/>
              <w:sz w:val="16"/>
              <w:szCs w:val="16"/>
            </w:rPr>
            <w:t>1702-A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51F0" w14:textId="77777777" w:rsidR="00334082" w:rsidRDefault="003340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7B485A"/>
    <w:multiLevelType w:val="hybridMultilevel"/>
    <w:tmpl w:val="E0247FD8"/>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5C96CB3"/>
    <w:multiLevelType w:val="hybridMultilevel"/>
    <w:tmpl w:val="A548645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78F6DEE"/>
    <w:multiLevelType w:val="hybridMultilevel"/>
    <w:tmpl w:val="47DE77A4"/>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066E83"/>
    <w:multiLevelType w:val="hybridMultilevel"/>
    <w:tmpl w:val="8E467A08"/>
    <w:lvl w:ilvl="0" w:tplc="361C16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360B52"/>
    <w:multiLevelType w:val="hybridMultilevel"/>
    <w:tmpl w:val="47CCA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5318FC"/>
    <w:multiLevelType w:val="hybridMultilevel"/>
    <w:tmpl w:val="485686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FC5807"/>
    <w:multiLevelType w:val="hybridMultilevel"/>
    <w:tmpl w:val="398611FC"/>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147AEA"/>
    <w:multiLevelType w:val="hybridMultilevel"/>
    <w:tmpl w:val="CE9604B2"/>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3DEB20E1"/>
    <w:multiLevelType w:val="hybridMultilevel"/>
    <w:tmpl w:val="A838F1F0"/>
    <w:lvl w:ilvl="0" w:tplc="FFFFFFFF">
      <w:start w:val="1"/>
      <w:numFmt w:val="upp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40090001">
      <w:start w:val="1"/>
      <w:numFmt w:val="bullet"/>
      <w:lvlText w:val=""/>
      <w:lvlJc w:val="left"/>
      <w:pPr>
        <w:ind w:left="3240" w:hanging="360"/>
      </w:pPr>
      <w:rPr>
        <w:rFonts w:ascii="Symbol" w:hAnsi="Symbol"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09D18D0"/>
    <w:multiLevelType w:val="hybridMultilevel"/>
    <w:tmpl w:val="F5A09964"/>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CE76FA9"/>
    <w:multiLevelType w:val="hybridMultilevel"/>
    <w:tmpl w:val="C5E0996E"/>
    <w:lvl w:ilvl="0" w:tplc="40090001">
      <w:start w:val="1"/>
      <w:numFmt w:val="bullet"/>
      <w:lvlText w:val=""/>
      <w:lvlJc w:val="left"/>
      <w:pPr>
        <w:ind w:left="1440" w:hanging="360"/>
      </w:pPr>
      <w:rPr>
        <w:rFonts w:ascii="Symbol" w:hAnsi="Symbol" w:hint="default"/>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381A6A"/>
    <w:multiLevelType w:val="hybridMultilevel"/>
    <w:tmpl w:val="47248768"/>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8519D2"/>
    <w:multiLevelType w:val="hybridMultilevel"/>
    <w:tmpl w:val="A0BA7058"/>
    <w:lvl w:ilvl="0" w:tplc="40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09050DC"/>
    <w:multiLevelType w:val="hybridMultilevel"/>
    <w:tmpl w:val="811A59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636C60B7"/>
    <w:multiLevelType w:val="hybridMultilevel"/>
    <w:tmpl w:val="3194884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41F42DB"/>
    <w:multiLevelType w:val="hybridMultilevel"/>
    <w:tmpl w:val="8FC269EE"/>
    <w:lvl w:ilvl="0" w:tplc="C540E47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58326B1"/>
    <w:multiLevelType w:val="hybridMultilevel"/>
    <w:tmpl w:val="2320E4D8"/>
    <w:lvl w:ilvl="0" w:tplc="DA9C1D4E">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8A38B5"/>
    <w:multiLevelType w:val="hybridMultilevel"/>
    <w:tmpl w:val="683403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8"/>
  </w:num>
  <w:num w:numId="3" w16cid:durableId="611589570">
    <w:abstractNumId w:val="2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4"/>
  </w:num>
  <w:num w:numId="17" w16cid:durableId="2128498676">
    <w:abstractNumId w:val="41"/>
  </w:num>
  <w:num w:numId="18" w16cid:durableId="299724409">
    <w:abstractNumId w:val="31"/>
  </w:num>
  <w:num w:numId="19" w16cid:durableId="214585573">
    <w:abstractNumId w:val="16"/>
  </w:num>
  <w:num w:numId="20" w16cid:durableId="1289816170">
    <w:abstractNumId w:val="18"/>
  </w:num>
  <w:num w:numId="21" w16cid:durableId="1066490929">
    <w:abstractNumId w:val="42"/>
  </w:num>
  <w:num w:numId="22" w16cid:durableId="1472481103">
    <w:abstractNumId w:val="33"/>
  </w:num>
  <w:num w:numId="23" w16cid:durableId="1997420403">
    <w:abstractNumId w:val="39"/>
  </w:num>
  <w:num w:numId="24" w16cid:durableId="33312838">
    <w:abstractNumId w:val="32"/>
  </w:num>
  <w:num w:numId="25" w16cid:durableId="507404939">
    <w:abstractNumId w:val="22"/>
  </w:num>
  <w:num w:numId="26" w16cid:durableId="1199008779">
    <w:abstractNumId w:val="17"/>
  </w:num>
  <w:num w:numId="27" w16cid:durableId="313687096">
    <w:abstractNumId w:val="26"/>
  </w:num>
  <w:num w:numId="28" w16cid:durableId="235746884">
    <w:abstractNumId w:val="11"/>
  </w:num>
  <w:num w:numId="29" w16cid:durableId="685014010">
    <w:abstractNumId w:val="27"/>
  </w:num>
  <w:num w:numId="30" w16cid:durableId="879166249">
    <w:abstractNumId w:val="37"/>
  </w:num>
  <w:num w:numId="31" w16cid:durableId="1243566383">
    <w:abstractNumId w:val="34"/>
  </w:num>
  <w:num w:numId="32" w16cid:durableId="1658726212">
    <w:abstractNumId w:val="20"/>
  </w:num>
  <w:num w:numId="33" w16cid:durableId="345324521">
    <w:abstractNumId w:val="36"/>
  </w:num>
  <w:num w:numId="34" w16cid:durableId="845704041">
    <w:abstractNumId w:val="35"/>
  </w:num>
  <w:num w:numId="35" w16cid:durableId="1879706093">
    <w:abstractNumId w:val="40"/>
  </w:num>
  <w:num w:numId="36" w16cid:durableId="1810242603">
    <w:abstractNumId w:val="14"/>
  </w:num>
  <w:num w:numId="37" w16cid:durableId="1341129603">
    <w:abstractNumId w:val="42"/>
  </w:num>
  <w:num w:numId="38" w16cid:durableId="1564099394">
    <w:abstractNumId w:val="42"/>
  </w:num>
  <w:num w:numId="39" w16cid:durableId="348216433">
    <w:abstractNumId w:val="19"/>
  </w:num>
  <w:num w:numId="40" w16cid:durableId="34238573">
    <w:abstractNumId w:val="30"/>
  </w:num>
  <w:num w:numId="41" w16cid:durableId="1739205602">
    <w:abstractNumId w:val="23"/>
  </w:num>
  <w:num w:numId="42" w16cid:durableId="727142621">
    <w:abstractNumId w:val="28"/>
  </w:num>
  <w:num w:numId="43" w16cid:durableId="83377302">
    <w:abstractNumId w:val="21"/>
  </w:num>
  <w:num w:numId="44" w16cid:durableId="2143881522">
    <w:abstractNumId w:val="25"/>
  </w:num>
  <w:num w:numId="45" w16cid:durableId="1642996538">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511"/>
    <w:rsid w:val="00062816"/>
    <w:rsid w:val="00064347"/>
    <w:rsid w:val="00064396"/>
    <w:rsid w:val="00065AC6"/>
    <w:rsid w:val="000661DB"/>
    <w:rsid w:val="00066D4B"/>
    <w:rsid w:val="0006765E"/>
    <w:rsid w:val="00067732"/>
    <w:rsid w:val="0006774C"/>
    <w:rsid w:val="00070758"/>
    <w:rsid w:val="00070C48"/>
    <w:rsid w:val="000717F6"/>
    <w:rsid w:val="00071A7F"/>
    <w:rsid w:val="0007286F"/>
    <w:rsid w:val="00073832"/>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6C8"/>
    <w:rsid w:val="000A5AE5"/>
    <w:rsid w:val="000A71EC"/>
    <w:rsid w:val="000A7D51"/>
    <w:rsid w:val="000B0F9D"/>
    <w:rsid w:val="000B104D"/>
    <w:rsid w:val="000B1961"/>
    <w:rsid w:val="000B20CD"/>
    <w:rsid w:val="000B2E6C"/>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6A9A"/>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395C"/>
    <w:rsid w:val="00244442"/>
    <w:rsid w:val="0024498F"/>
    <w:rsid w:val="002504F9"/>
    <w:rsid w:val="00250C39"/>
    <w:rsid w:val="00250E25"/>
    <w:rsid w:val="00251EE2"/>
    <w:rsid w:val="00252864"/>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B25"/>
    <w:rsid w:val="002965CE"/>
    <w:rsid w:val="00296EC3"/>
    <w:rsid w:val="00297405"/>
    <w:rsid w:val="002A02BE"/>
    <w:rsid w:val="002A0A3B"/>
    <w:rsid w:val="002A0DB7"/>
    <w:rsid w:val="002A0F12"/>
    <w:rsid w:val="002A1602"/>
    <w:rsid w:val="002A1A1C"/>
    <w:rsid w:val="002A245D"/>
    <w:rsid w:val="002A3CC2"/>
    <w:rsid w:val="002A529C"/>
    <w:rsid w:val="002A58FA"/>
    <w:rsid w:val="002A5D89"/>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08C"/>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723B"/>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40EC"/>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C1E"/>
    <w:rsid w:val="00315D6F"/>
    <w:rsid w:val="00316DC1"/>
    <w:rsid w:val="00320652"/>
    <w:rsid w:val="003213DE"/>
    <w:rsid w:val="00321446"/>
    <w:rsid w:val="00322EB1"/>
    <w:rsid w:val="00323534"/>
    <w:rsid w:val="00323A7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4082"/>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3F1B"/>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4EA"/>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F0F"/>
    <w:rsid w:val="00401319"/>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13"/>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4E9A"/>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50F"/>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476"/>
    <w:rsid w:val="004C3213"/>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D6C37"/>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76E"/>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75FCE"/>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9B1"/>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2C68"/>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7E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149"/>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D76FA"/>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0F23"/>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7F"/>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EE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17A1"/>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76D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6A99"/>
    <w:rsid w:val="008571AA"/>
    <w:rsid w:val="00860962"/>
    <w:rsid w:val="00860CBD"/>
    <w:rsid w:val="00860E69"/>
    <w:rsid w:val="00861CA3"/>
    <w:rsid w:val="00861DD6"/>
    <w:rsid w:val="00861F40"/>
    <w:rsid w:val="00863211"/>
    <w:rsid w:val="00863541"/>
    <w:rsid w:val="008646F4"/>
    <w:rsid w:val="00864778"/>
    <w:rsid w:val="008659E9"/>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1161"/>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6F5A"/>
    <w:rsid w:val="00927612"/>
    <w:rsid w:val="00927737"/>
    <w:rsid w:val="00930F9F"/>
    <w:rsid w:val="00930FF5"/>
    <w:rsid w:val="00931D1D"/>
    <w:rsid w:val="00931D32"/>
    <w:rsid w:val="009323E1"/>
    <w:rsid w:val="009324A8"/>
    <w:rsid w:val="00932532"/>
    <w:rsid w:val="00934760"/>
    <w:rsid w:val="00934A46"/>
    <w:rsid w:val="00935BC3"/>
    <w:rsid w:val="00937266"/>
    <w:rsid w:val="00940AA9"/>
    <w:rsid w:val="00941264"/>
    <w:rsid w:val="0094296E"/>
    <w:rsid w:val="0094298C"/>
    <w:rsid w:val="009434E1"/>
    <w:rsid w:val="0094553A"/>
    <w:rsid w:val="00946337"/>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67D31"/>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11"/>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0B50"/>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ECB"/>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1F91"/>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C5C"/>
    <w:rsid w:val="00AF6F09"/>
    <w:rsid w:val="00B00963"/>
    <w:rsid w:val="00B01716"/>
    <w:rsid w:val="00B01BDE"/>
    <w:rsid w:val="00B02279"/>
    <w:rsid w:val="00B03227"/>
    <w:rsid w:val="00B03852"/>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75D"/>
    <w:rsid w:val="00B55FE1"/>
    <w:rsid w:val="00B569FC"/>
    <w:rsid w:val="00B57430"/>
    <w:rsid w:val="00B574C8"/>
    <w:rsid w:val="00B57C0E"/>
    <w:rsid w:val="00B61A8B"/>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1D0"/>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5FC6"/>
    <w:rsid w:val="00BE6B5E"/>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2D98"/>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43B"/>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868"/>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3EA6"/>
    <w:rsid w:val="00CE409F"/>
    <w:rsid w:val="00CE4870"/>
    <w:rsid w:val="00CE61C3"/>
    <w:rsid w:val="00CE6A0D"/>
    <w:rsid w:val="00CE71E6"/>
    <w:rsid w:val="00CE72B8"/>
    <w:rsid w:val="00CE76BE"/>
    <w:rsid w:val="00CE7E59"/>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4BB3"/>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29FE"/>
    <w:rsid w:val="00D64807"/>
    <w:rsid w:val="00D6549B"/>
    <w:rsid w:val="00D65533"/>
    <w:rsid w:val="00D665CC"/>
    <w:rsid w:val="00D66B08"/>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C7F0E"/>
    <w:rsid w:val="00DD11EC"/>
    <w:rsid w:val="00DD1A9A"/>
    <w:rsid w:val="00DD1F42"/>
    <w:rsid w:val="00DD23B6"/>
    <w:rsid w:val="00DD34C0"/>
    <w:rsid w:val="00DD4EA3"/>
    <w:rsid w:val="00DD5193"/>
    <w:rsid w:val="00DD56B8"/>
    <w:rsid w:val="00DD5970"/>
    <w:rsid w:val="00DD6F65"/>
    <w:rsid w:val="00DD70A3"/>
    <w:rsid w:val="00DE02C1"/>
    <w:rsid w:val="00DE1C7E"/>
    <w:rsid w:val="00DE1E23"/>
    <w:rsid w:val="00DE219D"/>
    <w:rsid w:val="00DE23E7"/>
    <w:rsid w:val="00DE2E13"/>
    <w:rsid w:val="00DE3856"/>
    <w:rsid w:val="00DE3C2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5FF"/>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792"/>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199"/>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4C5"/>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64F"/>
    <w:rsid w:val="00F718A3"/>
    <w:rsid w:val="00F71DC9"/>
    <w:rsid w:val="00F729CF"/>
    <w:rsid w:val="00F72FC2"/>
    <w:rsid w:val="00F749A8"/>
    <w:rsid w:val="00F74F32"/>
    <w:rsid w:val="00F75C81"/>
    <w:rsid w:val="00F760BB"/>
    <w:rsid w:val="00F76A97"/>
    <w:rsid w:val="00F773AB"/>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0A4"/>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DE3C26"/>
    <w:pPr>
      <w:numPr>
        <w:numId w:val="39"/>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9e5e3151-c0b7-45db-a3fc-693419218584"/>
    <ds:schemaRef ds:uri="140c881a-ad29-41df-bf4a-49828f8e0a8a"/>
  </ds:schemaRefs>
</ds:datastoreItem>
</file>

<file path=customXml/itemProps2.xml><?xml version="1.0" encoding="utf-8"?>
<ds:datastoreItem xmlns:ds="http://schemas.openxmlformats.org/officeDocument/2006/customXml" ds:itemID="{9CAEB183-0ADD-4C76-9AED-5A81F9159162}"/>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579</Words>
  <Characters>3631</Characters>
  <Application>Microsoft Office Word</Application>
  <DocSecurity>0</DocSecurity>
  <Lines>75</Lines>
  <Paragraphs>61</Paragraphs>
  <ScaleCrop>false</ScaleCrop>
  <HeadingPairs>
    <vt:vector size="2" baseType="variant">
      <vt:variant>
        <vt:lpstr>Title</vt:lpstr>
      </vt:variant>
      <vt:variant>
        <vt:i4>1</vt:i4>
      </vt:variant>
    </vt:vector>
  </HeadingPairs>
  <TitlesOfParts>
    <vt:vector size="1" baseType="lpstr">
      <vt:lpstr>Specialty Quantity Limit Vanflyta 6097-H 2024</vt:lpstr>
    </vt:vector>
  </TitlesOfParts>
  <Company>PCS Health Systems</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CVS Caremark</dc:creator>
  <cp:keywords/>
  <cp:lastModifiedBy>Clark, Shannon I</cp:lastModifiedBy>
  <cp:revision>3</cp:revision>
  <cp:lastPrinted>2018-01-09T05:01:00Z</cp:lastPrinted>
  <dcterms:created xsi:type="dcterms:W3CDTF">2024-12-31T03:35:00Z</dcterms:created>
  <dcterms:modified xsi:type="dcterms:W3CDTF">2024-12-31T03:36:00Z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_ExtendedDescription">
    <vt:lpwstr/>
  </property>
  <property fmtid="{D5CDD505-2E9C-101B-9397-08002B2CF9AE}" pid="15" name="TriggerFlowInfo">
    <vt:lpwstr/>
  </property>
  <property fmtid="{D5CDD505-2E9C-101B-9397-08002B2CF9AE}" pid="16" name="Order">
    <vt:r8>1124600</vt:r8>
  </property>
  <property fmtid="{D5CDD505-2E9C-101B-9397-08002B2CF9AE}" pid="17" name="xd_Signature">
    <vt:bool>false</vt:bool>
  </property>
  <property fmtid="{D5CDD505-2E9C-101B-9397-08002B2CF9AE}" pid="18" name="xd_ProgID">
    <vt:lpwstr/>
  </property>
  <property fmtid="{D5CDD505-2E9C-101B-9397-08002B2CF9AE}" pid="19" name="TemplateUrl">
    <vt:lpwstr/>
  </property>
</Properties>
</file>